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103</w:t>
      </w:r>
      <w:r>
        <w:rPr>
          <w:rFonts w:ascii="Arial" w:hAnsi="Arial" w:eastAsia="宋体" w:cs="Arial"/>
          <w:b/>
          <w:color w:val="auto"/>
          <w:sz w:val="24"/>
          <w:lang w:eastAsia="zh-CN"/>
        </w:rPr>
        <w:t>-e</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208770</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9</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20</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remaining issues of Timing for HST FR2</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9.8.2.3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bookmarkStart w:id="0" w:name="OLE_LINK3"/>
      <w:r>
        <w:rPr>
          <w:rFonts w:hint="eastAsia" w:eastAsia="宋体"/>
          <w:color w:val="auto"/>
          <w:sz w:val="24"/>
          <w:lang w:val="en-US" w:eastAsia="zh-CN"/>
        </w:rPr>
        <w:t>Approval</w:t>
      </w:r>
      <w:bookmarkEnd w:id="0"/>
      <w:bookmarkStart w:id="6" w:name="_GoBack"/>
      <w:bookmarkEnd w:id="6"/>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the last meeting, a way forward on RRM for NR FR2 HST was approved in [1]. About Timing, actually the discussion was combined with the Lightweight network assistance signaling and TCI state switching delay in another thread of HST FR2 RRM. Finally the following related agreements were approved but without any conclusion about direct or exact UL timing procedure approved.</w:t>
      </w:r>
      <w:r>
        <w:rPr>
          <w:rFonts w:hint="default" w:eastAsia="宋体"/>
          <w:color w:val="auto"/>
          <w:sz w:val="21"/>
          <w:szCs w:val="21"/>
          <w:lang w:val="en-US" w:eastAsia="zh-C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topLinePunct w:val="0"/>
              <w:bidi w:val="0"/>
              <w:snapToGrid/>
              <w:spacing w:line="240" w:lineRule="auto"/>
              <w:rPr>
                <w:rFonts w:hint="default" w:eastAsia="宋体"/>
                <w:color w:val="auto"/>
                <w:sz w:val="21"/>
                <w:szCs w:val="21"/>
                <w:lang w:val="en-US" w:eastAsia="zh-CN"/>
              </w:rPr>
            </w:pPr>
            <w:r>
              <w:rPr>
                <w:rFonts w:eastAsiaTheme="minorEastAsia"/>
                <w:b/>
                <w:u w:val="single"/>
                <w:lang w:val="sv-SE" w:eastAsia="zh-CN"/>
              </w:rPr>
              <w:t xml:space="preserve">Lightweight network assistance signaling </w:t>
            </w:r>
          </w:p>
          <w:p>
            <w:pPr>
              <w:pStyle w:val="54"/>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highlight w:val="green"/>
                <w:lang w:val="en-US" w:eastAsia="ja-JP"/>
              </w:rPr>
            </w:pPr>
            <w:r>
              <w:rPr>
                <w:highlight w:val="green"/>
                <w:lang w:val="en-US" w:eastAsia="ja-JP"/>
              </w:rPr>
              <w:t>Agreements</w:t>
            </w:r>
          </w:p>
          <w:p>
            <w:pPr>
              <w:pStyle w:val="54"/>
              <w:keepNext w:val="0"/>
              <w:keepLines w:val="0"/>
              <w:pageBreakBefore w:val="0"/>
              <w:widowControl/>
              <w:numPr>
                <w:ilvl w:val="0"/>
                <w:numId w:val="4"/>
              </w:numPr>
              <w:kinsoku/>
              <w:wordWrap/>
              <w:overflowPunct/>
              <w:topLinePunct w:val="0"/>
              <w:autoSpaceDE/>
              <w:autoSpaceDN/>
              <w:bidi w:val="0"/>
              <w:adjustRightInd/>
              <w:snapToGrid/>
              <w:spacing w:line="240" w:lineRule="auto"/>
              <w:ind w:left="720" w:leftChars="0" w:hanging="360" w:firstLineChars="0"/>
              <w:textAlignment w:val="auto"/>
              <w:rPr>
                <w:highlight w:val="none"/>
                <w:lang w:val="en-US"/>
              </w:rPr>
            </w:pPr>
            <w:r>
              <w:rPr>
                <w:highlight w:val="none"/>
                <w:lang w:val="en-US"/>
              </w:rPr>
              <w:t>Inter-RRH indication</w:t>
            </w:r>
          </w:p>
          <w:p>
            <w:pPr>
              <w:pStyle w:val="54"/>
              <w:keepNext w:val="0"/>
              <w:keepLines w:val="0"/>
              <w:pageBreakBefore w:val="0"/>
              <w:widowControl/>
              <w:numPr>
                <w:ilvl w:val="1"/>
                <w:numId w:val="4"/>
              </w:numPr>
              <w:kinsoku/>
              <w:wordWrap/>
              <w:overflowPunct/>
              <w:topLinePunct w:val="0"/>
              <w:autoSpaceDE/>
              <w:autoSpaceDN/>
              <w:bidi w:val="0"/>
              <w:adjustRightInd/>
              <w:snapToGrid/>
              <w:spacing w:line="240" w:lineRule="auto"/>
              <w:ind w:left="1440" w:leftChars="0" w:hanging="360" w:firstLineChars="0"/>
              <w:textAlignment w:val="auto"/>
              <w:rPr>
                <w:highlight w:val="none"/>
                <w:lang w:val="en-US"/>
              </w:rPr>
            </w:pPr>
            <w:r>
              <w:rPr>
                <w:highlight w:val="none"/>
                <w:lang w:val="en-US"/>
              </w:rPr>
              <w:t>Do not introduce explicit inter-RRH indication signalling for NR FR2 HST in Rel-17</w:t>
            </w:r>
          </w:p>
          <w:p>
            <w:pPr>
              <w:pStyle w:val="54"/>
              <w:keepNext w:val="0"/>
              <w:keepLines w:val="0"/>
              <w:pageBreakBefore w:val="0"/>
              <w:widowControl/>
              <w:numPr>
                <w:ilvl w:val="1"/>
                <w:numId w:val="4"/>
              </w:numPr>
              <w:kinsoku/>
              <w:wordWrap/>
              <w:overflowPunct/>
              <w:topLinePunct w:val="0"/>
              <w:autoSpaceDE/>
              <w:autoSpaceDN/>
              <w:bidi w:val="0"/>
              <w:adjustRightInd/>
              <w:snapToGrid/>
              <w:spacing w:line="240" w:lineRule="auto"/>
              <w:ind w:left="1440" w:leftChars="0" w:hanging="360" w:firstLineChars="0"/>
              <w:textAlignment w:val="auto"/>
              <w:rPr>
                <w:highlight w:val="none"/>
                <w:lang w:val="en-US"/>
              </w:rPr>
            </w:pPr>
            <w:r>
              <w:rPr>
                <w:highlight w:val="none"/>
                <w:lang w:val="en-US"/>
              </w:rPr>
              <w:t>FR2 HST Inter-RRH indication signalling enancements can be considered in Rel-18 subject to RAN plenary decision</w:t>
            </w:r>
          </w:p>
          <w:p>
            <w:pPr>
              <w:pStyle w:val="54"/>
              <w:keepNext w:val="0"/>
              <w:keepLines w:val="0"/>
              <w:pageBreakBefore w:val="0"/>
              <w:widowControl/>
              <w:numPr>
                <w:ilvl w:val="0"/>
                <w:numId w:val="4"/>
              </w:numPr>
              <w:kinsoku/>
              <w:wordWrap/>
              <w:overflowPunct/>
              <w:topLinePunct w:val="0"/>
              <w:autoSpaceDE/>
              <w:autoSpaceDN/>
              <w:bidi w:val="0"/>
              <w:adjustRightInd/>
              <w:snapToGrid/>
              <w:spacing w:line="240" w:lineRule="auto"/>
              <w:ind w:left="720" w:leftChars="0" w:hanging="360" w:firstLineChars="0"/>
              <w:textAlignment w:val="auto"/>
              <w:rPr>
                <w:rFonts w:hint="default" w:eastAsia="宋体"/>
                <w:color w:val="auto"/>
                <w:sz w:val="21"/>
                <w:szCs w:val="21"/>
                <w:lang w:val="en-US" w:eastAsia="zh-CN"/>
              </w:rPr>
            </w:pPr>
            <w:r>
              <w:rPr>
                <w:rFonts w:ascii="Times New Roman" w:hAnsi="Times New Roman" w:eastAsia="MS Mincho" w:cs="Times New Roman"/>
                <w:kern w:val="0"/>
                <w:sz w:val="20"/>
                <w:szCs w:val="24"/>
                <w:highlight w:val="none"/>
                <w:lang w:val="en-US" w:eastAsia="en-US" w:bidi="ar-SA"/>
              </w:rPr>
              <w:t>FFS whether additional assumptions for the definition one shot UL timing adjustment requirements shall be introduced (e.g. UE is configured with aperiodic L1-RSRP reporting before the TCI state switch, or UE performed fine time tracking within X ms before/after TCI state switching)</w:t>
            </w:r>
          </w:p>
          <w:p>
            <w:pPr>
              <w:pStyle w:val="54"/>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ascii="Times New Roman" w:hAnsi="Times New Roman" w:cs="Times New Roman" w:eastAsiaTheme="minorEastAsia"/>
                <w:b/>
                <w:szCs w:val="24"/>
                <w:u w:val="single"/>
                <w:lang w:val="en-US" w:eastAsia="zh-CN" w:bidi="ar-SA"/>
              </w:rPr>
            </w:pPr>
            <w:r>
              <w:rPr>
                <w:rFonts w:ascii="Times New Roman" w:hAnsi="Times New Roman" w:cs="Times New Roman" w:eastAsiaTheme="minorEastAsia"/>
                <w:b/>
                <w:szCs w:val="24"/>
                <w:u w:val="single"/>
                <w:lang w:val="en-US" w:eastAsia="zh-CN" w:bidi="ar-SA"/>
              </w:rPr>
              <w:t>Capability for one shot large UL timing adjustment</w:t>
            </w:r>
          </w:p>
          <w:p>
            <w:pPr>
              <w:keepNext w:val="0"/>
              <w:keepLines w:val="0"/>
              <w:pageBreakBefore w:val="0"/>
              <w:widowControl/>
              <w:kinsoku/>
              <w:wordWrap/>
              <w:overflowPunct w:val="0"/>
              <w:topLinePunct w:val="0"/>
              <w:autoSpaceDE w:val="0"/>
              <w:autoSpaceDN w:val="0"/>
              <w:bidi w:val="0"/>
              <w:adjustRightInd w:val="0"/>
              <w:snapToGrid/>
              <w:spacing w:line="240" w:lineRule="auto"/>
              <w:textAlignment w:val="baseline"/>
              <w:rPr>
                <w:rFonts w:eastAsia="Yu Mincho"/>
                <w:b/>
                <w:highlight w:val="green"/>
                <w:lang w:val="en-US"/>
              </w:rPr>
            </w:pPr>
            <w:r>
              <w:rPr>
                <w:rFonts w:eastAsia="Yu Mincho"/>
                <w:b/>
                <w:highlight w:val="green"/>
                <w:lang w:val="en-US"/>
              </w:rPr>
              <w:t>Agreement:</w:t>
            </w:r>
          </w:p>
          <w:p>
            <w:pPr>
              <w:pStyle w:val="54"/>
              <w:keepNext w:val="0"/>
              <w:keepLines w:val="0"/>
              <w:pageBreakBefore w:val="0"/>
              <w:widowControl/>
              <w:numPr>
                <w:ilvl w:val="0"/>
                <w:numId w:val="4"/>
              </w:numPr>
              <w:kinsoku/>
              <w:wordWrap/>
              <w:overflowPunct/>
              <w:topLinePunct w:val="0"/>
              <w:autoSpaceDE/>
              <w:autoSpaceDN/>
              <w:bidi w:val="0"/>
              <w:adjustRightInd/>
              <w:snapToGrid/>
              <w:spacing w:line="240" w:lineRule="auto"/>
              <w:ind w:left="720" w:leftChars="0" w:hanging="360" w:firstLineChars="0"/>
              <w:textAlignment w:val="auto"/>
              <w:rPr>
                <w:rFonts w:eastAsiaTheme="minorEastAsia"/>
                <w:b/>
                <w:bCs/>
                <w:iCs/>
                <w:lang w:val="en-US" w:eastAsia="zh-CN"/>
              </w:rPr>
            </w:pPr>
            <w:r>
              <w:rPr>
                <w:highlight w:val="none"/>
                <w:lang w:val="en-US" w:eastAsia="zh-CN"/>
              </w:rPr>
              <w:t>Introduce feature group x-2 “Support of one shot large UL timing adjustment” with prerequisite feature group (x-1, “Support of FR2 HST operation”)</w:t>
            </w:r>
          </w:p>
          <w:p>
            <w:pPr>
              <w:keepNext w:val="0"/>
              <w:keepLines w:val="0"/>
              <w:pageBreakBefore w:val="0"/>
              <w:widowControl/>
              <w:kinsoku/>
              <w:wordWrap/>
              <w:overflowPunct w:val="0"/>
              <w:topLinePunct w:val="0"/>
              <w:autoSpaceDE w:val="0"/>
              <w:autoSpaceDN w:val="0"/>
              <w:bidi w:val="0"/>
              <w:adjustRightInd w:val="0"/>
              <w:snapToGrid/>
              <w:spacing w:line="240" w:lineRule="auto"/>
              <w:textAlignment w:val="baseline"/>
              <w:rPr>
                <w:rFonts w:eastAsiaTheme="minorEastAsia"/>
                <w:b/>
                <w:bCs/>
                <w:iCs/>
                <w:lang w:val="en-US" w:eastAsia="zh-CN"/>
              </w:rPr>
            </w:pPr>
            <w:r>
              <w:rPr>
                <w:rFonts w:eastAsiaTheme="minorEastAsia"/>
                <w:b/>
                <w:bCs/>
                <w:iCs/>
                <w:lang w:val="en-US" w:eastAsia="zh-CN"/>
              </w:rPr>
              <w:t>Way forward:</w:t>
            </w:r>
          </w:p>
          <w:p>
            <w:pPr>
              <w:pStyle w:val="54"/>
              <w:keepNext w:val="0"/>
              <w:keepLines w:val="0"/>
              <w:pageBreakBefore w:val="0"/>
              <w:widowControl/>
              <w:numPr>
                <w:ilvl w:val="0"/>
                <w:numId w:val="4"/>
              </w:numPr>
              <w:kinsoku/>
              <w:wordWrap/>
              <w:overflowPunct/>
              <w:topLinePunct w:val="0"/>
              <w:autoSpaceDE/>
              <w:autoSpaceDN/>
              <w:bidi w:val="0"/>
              <w:adjustRightInd/>
              <w:snapToGrid/>
              <w:spacing w:line="240" w:lineRule="auto"/>
              <w:ind w:left="720" w:leftChars="0" w:hanging="360" w:firstLineChars="0"/>
              <w:textAlignment w:val="auto"/>
              <w:rPr>
                <w:highlight w:val="none"/>
                <w:lang w:val="en-US" w:eastAsia="zh-CN"/>
              </w:rPr>
            </w:pPr>
            <w:r>
              <w:rPr>
                <w:highlight w:val="none"/>
                <w:lang w:val="en-US" w:eastAsia="zh-CN"/>
              </w:rPr>
              <w:t>Companies are encouraged to discuss further the following two options:</w:t>
            </w:r>
          </w:p>
          <w:p>
            <w:pPr>
              <w:pStyle w:val="54"/>
              <w:keepNext w:val="0"/>
              <w:keepLines w:val="0"/>
              <w:pageBreakBefore w:val="0"/>
              <w:widowControl/>
              <w:numPr>
                <w:ilvl w:val="1"/>
                <w:numId w:val="4"/>
              </w:numPr>
              <w:kinsoku/>
              <w:wordWrap/>
              <w:overflowPunct/>
              <w:topLinePunct w:val="0"/>
              <w:autoSpaceDE/>
              <w:autoSpaceDN/>
              <w:bidi w:val="0"/>
              <w:adjustRightInd/>
              <w:snapToGrid/>
              <w:spacing w:line="240" w:lineRule="auto"/>
              <w:ind w:left="1440" w:leftChars="0" w:hanging="360" w:firstLineChars="0"/>
              <w:textAlignment w:val="auto"/>
              <w:rPr>
                <w:rFonts w:hint="default"/>
                <w:highlight w:val="none"/>
                <w:lang w:val="en-US" w:eastAsia="zh-CN"/>
              </w:rPr>
            </w:pPr>
            <w:r>
              <w:rPr>
                <w:highlight w:val="none"/>
                <w:lang w:val="en-US" w:eastAsia="zh-CN"/>
              </w:rPr>
              <w:t>Option 1: Define feature as mandatory with capability signaling.</w:t>
            </w:r>
          </w:p>
          <w:p>
            <w:pPr>
              <w:pStyle w:val="54"/>
              <w:keepNext w:val="0"/>
              <w:keepLines w:val="0"/>
              <w:pageBreakBefore w:val="0"/>
              <w:widowControl/>
              <w:numPr>
                <w:ilvl w:val="1"/>
                <w:numId w:val="4"/>
              </w:numPr>
              <w:kinsoku/>
              <w:wordWrap/>
              <w:overflowPunct/>
              <w:topLinePunct w:val="0"/>
              <w:autoSpaceDE/>
              <w:autoSpaceDN/>
              <w:bidi w:val="0"/>
              <w:adjustRightInd/>
              <w:snapToGrid/>
              <w:spacing w:line="240" w:lineRule="auto"/>
              <w:ind w:left="1440" w:leftChars="0" w:hanging="360" w:firstLineChars="0"/>
              <w:textAlignment w:val="auto"/>
              <w:rPr>
                <w:rFonts w:hint="default" w:ascii="Times New Roman" w:hAnsi="Times New Roman" w:cs="Times New Roman" w:eastAsiaTheme="minorEastAsia"/>
                <w:b/>
                <w:szCs w:val="24"/>
                <w:u w:val="single"/>
                <w:lang w:val="en-US" w:eastAsia="zh-CN" w:bidi="ar-SA"/>
              </w:rPr>
            </w:pPr>
            <w:r>
              <w:rPr>
                <w:highlight w:val="none"/>
                <w:lang w:val="en-US" w:eastAsia="zh-CN"/>
              </w:rPr>
              <w:t>Option 2: Define feature as optional with capability signaling.</w:t>
            </w:r>
          </w:p>
          <w:p>
            <w:pPr>
              <w:pStyle w:val="54"/>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ascii="Times New Roman" w:hAnsi="Times New Roman" w:cs="Times New Roman" w:eastAsiaTheme="minorEastAsia"/>
                <w:b/>
                <w:szCs w:val="24"/>
                <w:u w:val="single"/>
                <w:lang w:val="en-US" w:eastAsia="zh-CN" w:bidi="ar-SA"/>
              </w:rPr>
            </w:pPr>
            <w:r>
              <w:rPr>
                <w:rFonts w:ascii="Times New Roman" w:hAnsi="Times New Roman" w:cs="Times New Roman" w:eastAsiaTheme="minorEastAsia"/>
                <w:b/>
                <w:szCs w:val="24"/>
                <w:u w:val="single"/>
                <w:lang w:val="en-US" w:eastAsia="zh-CN" w:bidi="ar-SA"/>
              </w:rPr>
              <w:t>TCI switching delay</w:t>
            </w:r>
          </w:p>
          <w:p>
            <w:pPr>
              <w:keepNext w:val="0"/>
              <w:keepLines w:val="0"/>
              <w:pageBreakBefore w:val="0"/>
              <w:widowControl/>
              <w:kinsoku/>
              <w:wordWrap/>
              <w:overflowPunct w:val="0"/>
              <w:topLinePunct w:val="0"/>
              <w:autoSpaceDE w:val="0"/>
              <w:autoSpaceDN w:val="0"/>
              <w:bidi w:val="0"/>
              <w:adjustRightInd w:val="0"/>
              <w:snapToGrid/>
              <w:spacing w:line="240" w:lineRule="auto"/>
              <w:textAlignment w:val="baseline"/>
              <w:rPr>
                <w:rFonts w:eastAsia="Yu Mincho"/>
                <w:b/>
                <w:highlight w:val="green"/>
                <w:lang w:val="en-US"/>
              </w:rPr>
            </w:pPr>
            <w:r>
              <w:rPr>
                <w:rFonts w:eastAsia="Yu Mincho"/>
                <w:b/>
                <w:highlight w:val="green"/>
                <w:lang w:val="en-US"/>
              </w:rPr>
              <w:t>GtW agreement:</w:t>
            </w:r>
          </w:p>
          <w:p>
            <w:pPr>
              <w:pStyle w:val="54"/>
              <w:keepNext w:val="0"/>
              <w:keepLines w:val="0"/>
              <w:pageBreakBefore w:val="0"/>
              <w:widowControl/>
              <w:numPr>
                <w:ilvl w:val="0"/>
                <w:numId w:val="4"/>
              </w:numPr>
              <w:kinsoku/>
              <w:wordWrap/>
              <w:overflowPunct/>
              <w:topLinePunct w:val="0"/>
              <w:autoSpaceDE/>
              <w:autoSpaceDN/>
              <w:bidi w:val="0"/>
              <w:adjustRightInd/>
              <w:snapToGrid/>
              <w:spacing w:line="240" w:lineRule="auto"/>
              <w:ind w:left="720" w:leftChars="0" w:hanging="360" w:firstLineChars="0"/>
              <w:textAlignment w:val="auto"/>
              <w:rPr>
                <w:rFonts w:hint="default" w:ascii="Times New Roman" w:hAnsi="Times New Roman" w:cs="Times New Roman" w:eastAsiaTheme="minorEastAsia"/>
                <w:b/>
                <w:szCs w:val="24"/>
                <w:u w:val="single"/>
                <w:lang w:val="en-US" w:eastAsia="zh-CN" w:bidi="ar-SA"/>
              </w:rPr>
            </w:pPr>
            <w:r>
              <w:rPr>
                <w:highlight w:val="none"/>
                <w:lang w:val="en-US" w:eastAsia="zh-CN"/>
              </w:rPr>
              <w:t>Introduce additional TCI switching delay for UE to perform fine downlink timing tracking</w:t>
            </w:r>
          </w:p>
        </w:tc>
      </w:tr>
    </w:tbl>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About the UL timing procedure, the following issues still pending:</w:t>
      </w:r>
    </w:p>
    <w:p>
      <w:pPr>
        <w:pStyle w:val="3"/>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eastAsia" w:eastAsia="宋体"/>
          <w:color w:val="auto"/>
          <w:sz w:val="21"/>
          <w:szCs w:val="21"/>
          <w:lang w:val="en-US" w:eastAsia="zh-CN"/>
        </w:rPr>
        <w:t>Based on the current case of without inter-RRH indication introduced, FFS whether additional assumptions for the definition one shot UL timing adjustment requirements shall be introduced (e.g., UE is configured with aperiodic L1-RSRP reporting before the TCI state switch, or UE performed fine time tracking with Xms before/after TCI state switching)</w:t>
      </w:r>
    </w:p>
    <w:p>
      <w:pPr>
        <w:pStyle w:val="3"/>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eastAsia" w:eastAsia="宋体"/>
          <w:color w:val="auto"/>
          <w:sz w:val="21"/>
          <w:szCs w:val="21"/>
          <w:lang w:val="en-US" w:eastAsia="zh-CN"/>
        </w:rPr>
        <w:t>Based on the current case of without inter-RRH indication introduced, UE detection is needed within the one-shot TA adjustment procedure, the timing difference threshold in the detection is still FFS</w:t>
      </w:r>
    </w:p>
    <w:p>
      <w:pPr>
        <w:pStyle w:val="3"/>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eastAsia" w:eastAsia="宋体"/>
          <w:color w:val="auto"/>
          <w:sz w:val="21"/>
          <w:szCs w:val="21"/>
          <w:lang w:val="en-US" w:eastAsia="zh-CN"/>
        </w:rPr>
        <w:t>Whether the UE capability of one-shot TA adjustment should be mandatory or optional</w:t>
      </w:r>
    </w:p>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 xml:space="preserve">In this document, we provide our analysis focus on the above suspended issue.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bidi w:val="0"/>
        <w:rPr>
          <w:rFonts w:hint="default"/>
          <w:lang w:val="en-US" w:eastAsia="zh-CN"/>
        </w:rPr>
      </w:pPr>
      <w:r>
        <w:rPr>
          <w:rFonts w:hint="eastAsia"/>
          <w:lang w:val="en-US" w:eastAsia="zh-CN"/>
        </w:rPr>
        <w:t>2.1 Additional assumptions for definition one shot UL timing adjustment requirements</w:t>
      </w:r>
    </w:p>
    <w:p>
      <w:pPr>
        <w:widowControl w:val="0"/>
        <w:numPr>
          <w:ilvl w:val="0"/>
          <w:numId w:val="0"/>
        </w:numPr>
        <w:jc w:val="both"/>
        <w:rPr>
          <w:rFonts w:hint="eastAsia" w:eastAsia="宋体"/>
          <w:color w:val="auto"/>
          <w:sz w:val="21"/>
          <w:szCs w:val="21"/>
          <w:lang w:val="en-US" w:eastAsia="zh-CN"/>
        </w:rPr>
      </w:pPr>
      <w:bookmarkStart w:id="1" w:name="OLE_LINK1"/>
      <w:r>
        <w:rPr>
          <w:rFonts w:hint="eastAsia" w:eastAsia="宋体"/>
          <w:color w:val="auto"/>
          <w:sz w:val="21"/>
          <w:szCs w:val="21"/>
          <w:lang w:val="en-US" w:eastAsia="zh-CN"/>
        </w:rPr>
        <w:t>During 102 meeting, the following three options without inter-RRH indication were proposed:</w:t>
      </w:r>
    </w:p>
    <w:p>
      <w:pPr>
        <w:pStyle w:val="54"/>
        <w:keepNext w:val="0"/>
        <w:keepLines w:val="0"/>
        <w:pageBreakBefore w:val="0"/>
        <w:widowControl/>
        <w:numPr>
          <w:ilvl w:val="0"/>
          <w:numId w:val="4"/>
        </w:numPr>
        <w:kinsoku/>
        <w:wordWrap/>
        <w:overflowPunct/>
        <w:topLinePunct w:val="0"/>
        <w:autoSpaceDE/>
        <w:autoSpaceDN/>
        <w:bidi w:val="0"/>
        <w:adjustRightInd/>
        <w:snapToGrid/>
        <w:spacing w:line="240" w:lineRule="auto"/>
        <w:ind w:left="720" w:leftChars="0" w:hanging="360" w:firstLineChars="0"/>
        <w:textAlignment w:val="auto"/>
        <w:rPr>
          <w:rFonts w:hint="eastAsia"/>
          <w:sz w:val="21"/>
          <w:szCs w:val="21"/>
          <w:highlight w:val="none"/>
          <w:lang w:val="en-US" w:eastAsia="zh-CN"/>
        </w:rPr>
      </w:pPr>
      <w:r>
        <w:rPr>
          <w:rFonts w:hint="eastAsia"/>
          <w:sz w:val="21"/>
          <w:szCs w:val="21"/>
          <w:highlight w:val="none"/>
          <w:lang w:val="en-US" w:eastAsia="zh-CN"/>
        </w:rPr>
        <w:t xml:space="preserve">Option 1: Implicit inter-RRH indication based approach </w:t>
      </w:r>
    </w:p>
    <w:p>
      <w:pPr>
        <w:pStyle w:val="54"/>
        <w:keepNext w:val="0"/>
        <w:keepLines w:val="0"/>
        <w:pageBreakBefore w:val="0"/>
        <w:widowControl/>
        <w:numPr>
          <w:ilvl w:val="1"/>
          <w:numId w:val="4"/>
        </w:numPr>
        <w:kinsoku/>
        <w:wordWrap/>
        <w:overflowPunct/>
        <w:topLinePunct w:val="0"/>
        <w:autoSpaceDE/>
        <w:autoSpaceDN/>
        <w:bidi w:val="0"/>
        <w:adjustRightInd/>
        <w:snapToGrid/>
        <w:spacing w:line="240" w:lineRule="auto"/>
        <w:ind w:left="1440" w:leftChars="0" w:hanging="360" w:firstLineChars="0"/>
        <w:textAlignment w:val="auto"/>
        <w:rPr>
          <w:rFonts w:hint="eastAsia"/>
          <w:sz w:val="21"/>
          <w:szCs w:val="21"/>
          <w:highlight w:val="none"/>
          <w:lang w:val="en-US" w:eastAsia="zh-CN"/>
        </w:rPr>
      </w:pPr>
      <w:r>
        <w:rPr>
          <w:rFonts w:hint="eastAsia"/>
          <w:sz w:val="21"/>
          <w:szCs w:val="21"/>
          <w:highlight w:val="none"/>
          <w:lang w:val="en-US" w:eastAsia="zh-CN"/>
        </w:rPr>
        <w:t xml:space="preserve">Option 1a: Aperiodic L1-RSRP based approach </w:t>
      </w:r>
    </w:p>
    <w:p>
      <w:pPr>
        <w:pStyle w:val="54"/>
        <w:keepNext w:val="0"/>
        <w:keepLines w:val="0"/>
        <w:pageBreakBefore w:val="0"/>
        <w:widowControl/>
        <w:numPr>
          <w:ilvl w:val="1"/>
          <w:numId w:val="4"/>
        </w:numPr>
        <w:kinsoku/>
        <w:wordWrap/>
        <w:overflowPunct/>
        <w:topLinePunct w:val="0"/>
        <w:autoSpaceDE/>
        <w:autoSpaceDN/>
        <w:bidi w:val="0"/>
        <w:adjustRightInd/>
        <w:snapToGrid/>
        <w:spacing w:line="240" w:lineRule="auto"/>
        <w:ind w:left="1440" w:leftChars="0" w:hanging="360" w:firstLineChars="0"/>
        <w:textAlignment w:val="auto"/>
        <w:rPr>
          <w:rFonts w:hint="eastAsia"/>
          <w:sz w:val="21"/>
          <w:szCs w:val="21"/>
          <w:highlight w:val="none"/>
          <w:lang w:val="en-US" w:eastAsia="zh-CN"/>
        </w:rPr>
      </w:pPr>
      <w:r>
        <w:rPr>
          <w:rFonts w:hint="eastAsia"/>
          <w:sz w:val="21"/>
          <w:szCs w:val="21"/>
          <w:highlight w:val="none"/>
          <w:lang w:val="en-US" w:eastAsia="zh-CN"/>
        </w:rPr>
        <w:t xml:space="preserve">Option 1b: Active TCI list based approach </w:t>
      </w:r>
    </w:p>
    <w:p>
      <w:pPr>
        <w:pStyle w:val="54"/>
        <w:keepNext w:val="0"/>
        <w:keepLines w:val="0"/>
        <w:pageBreakBefore w:val="0"/>
        <w:widowControl/>
        <w:numPr>
          <w:ilvl w:val="0"/>
          <w:numId w:val="4"/>
        </w:numPr>
        <w:kinsoku/>
        <w:wordWrap/>
        <w:overflowPunct/>
        <w:topLinePunct w:val="0"/>
        <w:autoSpaceDE/>
        <w:autoSpaceDN/>
        <w:bidi w:val="0"/>
        <w:adjustRightInd/>
        <w:snapToGrid/>
        <w:spacing w:line="240" w:lineRule="auto"/>
        <w:ind w:left="720" w:leftChars="0" w:hanging="360" w:firstLineChars="0"/>
        <w:textAlignment w:val="auto"/>
        <w:rPr>
          <w:rFonts w:hint="eastAsia"/>
          <w:sz w:val="21"/>
          <w:szCs w:val="21"/>
          <w:highlight w:val="none"/>
          <w:lang w:val="en-US" w:eastAsia="zh-CN"/>
        </w:rPr>
      </w:pPr>
      <w:r>
        <w:rPr>
          <w:rFonts w:hint="eastAsia"/>
          <w:sz w:val="21"/>
          <w:szCs w:val="21"/>
          <w:highlight w:val="none"/>
          <w:lang w:val="en-US" w:eastAsia="zh-CN"/>
        </w:rPr>
        <w:t xml:space="preserve">Option 2: </w:t>
      </w:r>
      <w:bookmarkStart w:id="2" w:name="OLE_LINK48"/>
      <w:r>
        <w:rPr>
          <w:rFonts w:hint="eastAsia"/>
          <w:sz w:val="21"/>
          <w:szCs w:val="21"/>
          <w:highlight w:val="none"/>
          <w:lang w:val="en-US" w:eastAsia="zh-CN"/>
        </w:rPr>
        <w:t>UE detection based approach without any implicit inter-RRH indication</w:t>
      </w:r>
      <w:bookmarkEnd w:id="2"/>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Finally additional TCI switching delay for UE to perform fine downlink timing tracking were introduced into the TCI state switching delay, so actually Option 1b was applied for the one shot UL TA adjustment. The procedure of Option 1b can summarized as follows:</w:t>
      </w:r>
    </w:p>
    <w:p>
      <w:pPr>
        <w:pStyle w:val="3"/>
        <w:tabs>
          <w:tab w:val="left" w:pos="226"/>
          <w:tab w:val="left" w:pos="284"/>
          <w:tab w:val="left" w:pos="5103"/>
        </w:tabs>
        <w:snapToGrid w:val="0"/>
        <w:spacing w:before="156" w:beforeLines="50"/>
        <w:jc w:val="center"/>
      </w:pPr>
      <w:r>
        <w:rPr>
          <w:rFonts w:eastAsiaTheme="minorEastAsia"/>
          <w:lang w:val="en-US" w:eastAsia="zh-CN"/>
        </w:rPr>
        <w:drawing>
          <wp:inline distT="0" distB="0" distL="0" distR="0">
            <wp:extent cx="4119880" cy="5805170"/>
            <wp:effectExtent l="0" t="0" r="10160" b="1270"/>
            <wp:docPr id="31"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4" descr="Diagram&#10;&#10;Description automatically generated"/>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4119880" cy="5805170"/>
                    </a:xfrm>
                    <a:prstGeom prst="rect">
                      <a:avLst/>
                    </a:prstGeom>
                  </pic:spPr>
                </pic:pic>
              </a:graphicData>
            </a:graphic>
          </wp:inline>
        </w:drawing>
      </w:r>
    </w:p>
    <w:bookmarkEnd w:id="1"/>
    <w:p>
      <w:pPr>
        <w:pStyle w:val="3"/>
        <w:tabs>
          <w:tab w:val="left" w:pos="226"/>
          <w:tab w:val="left" w:pos="284"/>
          <w:tab w:val="left" w:pos="5103"/>
        </w:tabs>
        <w:snapToGrid w:val="0"/>
        <w:spacing w:before="156" w:beforeLines="50"/>
        <w:rPr>
          <w:rFonts w:hint="default" w:eastAsia="宋体" w:cs="Times New Roman"/>
          <w:b/>
          <w:bCs/>
          <w:color w:val="auto"/>
          <w:sz w:val="21"/>
          <w:szCs w:val="21"/>
          <w:highlight w:val="none"/>
          <w:lang w:val="en-US" w:eastAsia="zh-CN" w:bidi="ar-SA"/>
        </w:rPr>
      </w:pPr>
      <w:bookmarkStart w:id="3" w:name="OLE_LINK2"/>
      <w:r>
        <w:rPr>
          <w:rFonts w:hint="eastAsia" w:eastAsia="宋体"/>
          <w:color w:val="auto"/>
          <w:sz w:val="21"/>
          <w:szCs w:val="21"/>
          <w:lang w:val="en-US" w:eastAsia="zh-CN"/>
        </w:rPr>
        <w:t>To realize such procedure, the limitation of active TCI state maintenance for UE is needed. UE needs to keep at least coarse time tracking for all possible TCI states within current RRH coverage. Otherwise, UE would perform redundant new DL time tracking even for the case that only intra-RRH TCI state switching happens. So the corresponding UE capability of supporting coarse time tracking for all TCI states within one RRH coverage is necessary.</w:t>
      </w:r>
    </w:p>
    <w:p>
      <w:pPr>
        <w:widowControl w:val="0"/>
        <w:numPr>
          <w:ilvl w:val="0"/>
          <w:numId w:val="0"/>
        </w:numPr>
        <w:jc w:val="both"/>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To realize one shot TA adjustment of active TCI list based approach, one UE capability of supporting coarse time tracking for all TCI states within one RRH coverage is necessary.</w:t>
      </w:r>
    </w:p>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For the aperiodic L1-RSRP based approach, we believe it is another approach of replacement since lack of inter-RRH indication. Based on the procedure given by the proponent, we understand the acquirement of new DL timing was split into two steps: 1) Acquiring coarse new DL timing based on the SSB triggered by a-periodic L1-RSRP request. Since such SSB transmitted right before TCI state switching, so UE can receive the SSB based on old DL timing, and obtain coarse new DL timing based on them. Which complies with the UE procedure if timing update is necessary during TCI state switching process defined in current spec; 2) Acquiring fine new DL timing based on the TRS transmitted after TCI state switching so as to refine the coarse new DL timing acquired in step 1). Since a-periodic L1-RSRP request is an existing scheme, so not any additional signalling introduced, so without any specification impact. We are fine with this approach.</w:t>
      </w:r>
    </w:p>
    <w:p>
      <w:pPr>
        <w:widowControl w:val="0"/>
        <w:numPr>
          <w:ilvl w:val="0"/>
          <w:numId w:val="0"/>
        </w:numPr>
        <w:jc w:val="both"/>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For the aperiodic L1-RSRP based approach</w:t>
      </w:r>
      <w:r>
        <w:rPr>
          <w:rFonts w:hint="eastAsia" w:eastAsia="宋体" w:cs="Times New Roman"/>
          <w:b/>
          <w:bCs/>
          <w:color w:val="auto"/>
          <w:sz w:val="21"/>
          <w:szCs w:val="21"/>
          <w:highlight w:val="none"/>
          <w:lang w:val="en-US" w:eastAsia="zh-CN" w:bidi="ar-SA"/>
        </w:rPr>
        <w:t>, not any additional signalling introduced, so without any specification impact.</w:t>
      </w:r>
    </w:p>
    <w:bookmarkEnd w:id="3"/>
    <w:p>
      <w:pPr>
        <w:pStyle w:val="4"/>
        <w:bidi w:val="0"/>
        <w:rPr>
          <w:rFonts w:hint="eastAsia"/>
          <w:lang w:val="en-US" w:eastAsia="zh-CN"/>
        </w:rPr>
      </w:pPr>
      <w:r>
        <w:rPr>
          <w:rFonts w:hint="eastAsia"/>
          <w:lang w:val="en-US" w:eastAsia="zh-CN"/>
        </w:rPr>
        <w:t>2.2 Timing difference threshold of UE detection in one shot TA adjustment</w:t>
      </w:r>
    </w:p>
    <w:p>
      <w:pPr>
        <w:widowControl w:val="0"/>
        <w:numPr>
          <w:ilvl w:val="0"/>
          <w:numId w:val="0"/>
        </w:numPr>
        <w:jc w:val="both"/>
        <w:rPr>
          <w:rFonts w:hint="eastAsia" w:eastAsia="宋体"/>
          <w:color w:val="auto"/>
          <w:sz w:val="21"/>
          <w:szCs w:val="21"/>
          <w:lang w:val="en-US" w:eastAsia="zh-CN"/>
        </w:rPr>
      </w:pPr>
      <w:bookmarkStart w:id="4" w:name="OLE_LINK5"/>
      <w:r>
        <w:rPr>
          <w:rFonts w:hint="eastAsia" w:eastAsia="宋体"/>
          <w:color w:val="auto"/>
          <w:sz w:val="21"/>
          <w:szCs w:val="21"/>
          <w:lang w:val="en-US" w:eastAsia="zh-CN"/>
        </w:rPr>
        <w:t xml:space="preserve">Since the inter-RRH indication was denied to introduce in R17, so only the procedure without inter-RRH indication should be considered for one shot TA adjustment. Within the procedure without inter-RRH indication, after acquiring the new DL timing T_new, the UE needs to calculate DL timing offset as (T_new-T_old), if such DL timing offset beyond the one shot TA adjustment trigger threshold, UE would trigger one shot TA adjustment if such mechanism was configured to UE by NW. Otherwise, no need to trigger one shot TA adjustment and just depend on the gradual timing adjustment Tq. </w:t>
      </w:r>
    </w:p>
    <w:bookmarkEnd w:id="4"/>
    <w:p>
      <w:pPr>
        <w:widowControl w:val="0"/>
        <w:numPr>
          <w:ilvl w:val="0"/>
          <w:numId w:val="0"/>
        </w:numPr>
        <w:jc w:val="both"/>
        <w:rPr>
          <w:rFonts w:hint="eastAsia" w:eastAsia="宋体"/>
          <w:color w:val="auto"/>
          <w:sz w:val="21"/>
          <w:szCs w:val="21"/>
          <w:lang w:val="en-US" w:eastAsia="zh-CN"/>
        </w:rPr>
      </w:pPr>
      <w:r>
        <w:rPr>
          <w:rFonts w:hint="eastAsia" w:eastAsia="宋体"/>
          <w:color w:val="auto"/>
          <w:sz w:val="21"/>
          <w:szCs w:val="21"/>
          <w:lang w:val="en-US" w:eastAsia="zh-CN"/>
        </w:rPr>
        <w:t>Since TA adjustment should overcome round-trip propagation delay, so in order to guarantee 2*(</w:t>
      </w:r>
      <w:bookmarkStart w:id="5" w:name="OLE_LINK4"/>
      <w:r>
        <w:rPr>
          <w:rFonts w:hint="eastAsia" w:eastAsia="宋体"/>
          <w:color w:val="auto"/>
          <w:sz w:val="21"/>
          <w:szCs w:val="21"/>
          <w:lang w:val="en-US" w:eastAsia="zh-CN"/>
        </w:rPr>
        <w:t>T_new-T_old</w:t>
      </w:r>
      <w:bookmarkEnd w:id="5"/>
      <w:r>
        <w:rPr>
          <w:rFonts w:hint="eastAsia" w:eastAsia="宋体"/>
          <w:color w:val="auto"/>
          <w:sz w:val="21"/>
          <w:szCs w:val="21"/>
          <w:lang w:val="en-US" w:eastAsia="zh-CN"/>
        </w:rPr>
        <w:t>) not beyond CP, then T_new-T_old should not beyond CP/2, i.e. 9*64*Tc.</w:t>
      </w:r>
    </w:p>
    <w:p>
      <w:pPr>
        <w:widowControl w:val="0"/>
        <w:numPr>
          <w:ilvl w:val="0"/>
          <w:numId w:val="0"/>
        </w:numPr>
        <w:jc w:val="both"/>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3: The threshold of DL timing offset should be CP/2, i.e. 9*64*Tc.</w:t>
      </w:r>
    </w:p>
    <w:p>
      <w:pPr>
        <w:pStyle w:val="3"/>
        <w:rPr>
          <w:rFonts w:hint="eastAsia"/>
          <w:lang w:val="en-US" w:eastAsia="zh-CN"/>
        </w:rPr>
      </w:pPr>
    </w:p>
    <w:p>
      <w:pPr>
        <w:pStyle w:val="4"/>
        <w:bidi w:val="0"/>
        <w:rPr>
          <w:rFonts w:hint="default"/>
          <w:lang w:val="en-US" w:eastAsia="zh-CN"/>
        </w:rPr>
      </w:pPr>
      <w:r>
        <w:rPr>
          <w:rFonts w:hint="eastAsia"/>
          <w:lang w:val="en-US" w:eastAsia="zh-CN"/>
        </w:rPr>
        <w:t>2.3 UE feature of one-shot TA adjustment</w:t>
      </w:r>
    </w:p>
    <w:p>
      <w:pPr>
        <w:widowControl w:val="0"/>
        <w:numPr>
          <w:ilvl w:val="0"/>
          <w:numId w:val="0"/>
        </w:numPr>
        <w:jc w:val="both"/>
        <w:rPr>
          <w:rFonts w:hint="eastAsia" w:eastAsia="宋体"/>
          <w:color w:val="auto"/>
          <w:sz w:val="21"/>
          <w:szCs w:val="21"/>
          <w:lang w:val="en-US" w:eastAsia="zh-CN"/>
        </w:rPr>
      </w:pPr>
      <w:r>
        <w:rPr>
          <w:rFonts w:hint="eastAsia" w:eastAsia="宋体"/>
          <w:color w:val="auto"/>
          <w:sz w:val="21"/>
          <w:szCs w:val="21"/>
          <w:lang w:val="en-US" w:eastAsia="zh-CN"/>
        </w:rPr>
        <w:t xml:space="preserve">It has been agreed that the UE feature of </w:t>
      </w:r>
      <w:r>
        <w:rPr>
          <w:rFonts w:hint="default" w:eastAsia="宋体"/>
          <w:color w:val="auto"/>
          <w:sz w:val="21"/>
          <w:szCs w:val="21"/>
          <w:lang w:val="en-US" w:eastAsia="zh-CN"/>
        </w:rPr>
        <w:t>“</w:t>
      </w:r>
      <w:r>
        <w:rPr>
          <w:rFonts w:hint="eastAsia" w:eastAsia="宋体"/>
          <w:color w:val="auto"/>
          <w:sz w:val="21"/>
          <w:szCs w:val="21"/>
          <w:lang w:val="en-US" w:eastAsia="zh-CN"/>
        </w:rPr>
        <w:t>Support of one shot large UL timing adjustment</w:t>
      </w:r>
      <w:r>
        <w:rPr>
          <w:rFonts w:hint="default" w:eastAsia="宋体"/>
          <w:color w:val="auto"/>
          <w:sz w:val="21"/>
          <w:szCs w:val="21"/>
          <w:lang w:val="en-US" w:eastAsia="zh-CN"/>
        </w:rPr>
        <w:t>”</w:t>
      </w:r>
      <w:r>
        <w:rPr>
          <w:rFonts w:hint="eastAsia" w:eastAsia="宋体"/>
          <w:color w:val="auto"/>
          <w:sz w:val="21"/>
          <w:szCs w:val="21"/>
          <w:lang w:val="en-US" w:eastAsia="zh-CN"/>
        </w:rPr>
        <w:t xml:space="preserve"> was introduced. But whether such UE feature and corresponding UE capability should be mandatory or not, still pending. The following options were proposed during 102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54"/>
              <w:numPr>
                <w:ilvl w:val="1"/>
                <w:numId w:val="6"/>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Option 1: Introduce a new feature group and capability for one shot large UL timing adjustment) as mandatory with capability signaling.</w:t>
            </w:r>
          </w:p>
          <w:p>
            <w:pPr>
              <w:pStyle w:val="54"/>
              <w:numPr>
                <w:ilvl w:val="1"/>
                <w:numId w:val="6"/>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Option 2: Introduce a new feature group and capability for one shot large UL timing adjustment) as </w:t>
            </w:r>
            <w:r>
              <w:rPr>
                <w:rFonts w:eastAsia="宋体"/>
                <w:szCs w:val="24"/>
                <w:highlight w:val="none"/>
                <w:lang w:val="en-US" w:eastAsia="zh-CN"/>
              </w:rPr>
              <w:t>optional</w:t>
            </w:r>
            <w:r>
              <w:rPr>
                <w:rFonts w:eastAsia="宋体"/>
                <w:szCs w:val="24"/>
                <w:lang w:val="en-US" w:eastAsia="zh-CN"/>
              </w:rPr>
              <w:t xml:space="preserve"> with capability signaling</w:t>
            </w:r>
          </w:p>
          <w:p>
            <w:pPr>
              <w:pStyle w:val="54"/>
              <w:numPr>
                <w:ilvl w:val="1"/>
                <w:numId w:val="6"/>
              </w:numPr>
              <w:overflowPunct/>
              <w:autoSpaceDE/>
              <w:autoSpaceDN/>
              <w:adjustRightInd/>
              <w:spacing w:after="120"/>
              <w:ind w:firstLineChars="0"/>
              <w:textAlignment w:val="auto"/>
              <w:rPr>
                <w:rFonts w:hint="default" w:eastAsia="宋体"/>
                <w:color w:val="auto"/>
                <w:sz w:val="21"/>
                <w:szCs w:val="21"/>
                <w:vertAlign w:val="baseline"/>
                <w:lang w:val="en-US" w:eastAsia="zh-CN"/>
              </w:rPr>
            </w:pPr>
            <w:r>
              <w:rPr>
                <w:rFonts w:eastAsia="宋体"/>
                <w:szCs w:val="24"/>
                <w:lang w:val="en-US" w:eastAsia="zh-CN"/>
              </w:rPr>
              <w:t>Other Options are not precluded</w:t>
            </w:r>
          </w:p>
        </w:tc>
      </w:tr>
    </w:tbl>
    <w:p>
      <w:pPr>
        <w:widowControl w:val="0"/>
        <w:numPr>
          <w:ilvl w:val="0"/>
          <w:numId w:val="0"/>
        </w:numPr>
        <w:jc w:val="both"/>
        <w:rPr>
          <w:rFonts w:hint="default" w:eastAsia="宋体"/>
          <w:color w:val="auto"/>
          <w:sz w:val="21"/>
          <w:szCs w:val="21"/>
          <w:lang w:val="en-US" w:eastAsia="zh-CN"/>
        </w:rPr>
      </w:pPr>
      <w:r>
        <w:rPr>
          <w:rFonts w:hint="eastAsia" w:eastAsia="宋体"/>
          <w:color w:val="auto"/>
          <w:sz w:val="21"/>
          <w:szCs w:val="21"/>
          <w:lang w:val="en-US" w:eastAsia="zh-CN"/>
        </w:rPr>
        <w:t xml:space="preserve">We prefer Option 1. Since large propagation delay difference is inevitable in HST FR2 uni-deployment. If without the mechanism of one-shot TA adjustment, UE has to apply legacy RACH procedure to overcome the large propagation delay difference, but which needs more latency. So we believe the feature and corresponding UE capability of one-shot TA adjustment should be mandatory, at least for uni-directional deployment. It should be noted that we have already determined to introduced the uni-/bi- indication through NW RRC signaling.  </w:t>
      </w:r>
    </w:p>
    <w:p>
      <w:pPr>
        <w:rPr>
          <w:rFonts w:hint="default" w:eastAsia="宋体"/>
          <w:color w:val="auto"/>
          <w:sz w:val="21"/>
          <w:szCs w:val="21"/>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The UE feature and corresponding UE capability for one-shot TA adjustment should be mandatory, at least for uni-directional deployment.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timing issue of FR2 HST</w:t>
      </w:r>
      <w:r>
        <w:rPr>
          <w:rFonts w:eastAsia="宋体"/>
          <w:bCs/>
          <w:color w:val="auto"/>
          <w:sz w:val="21"/>
          <w:szCs w:val="21"/>
          <w:lang w:val="en-GB" w:eastAsia="zh-CN"/>
        </w:rPr>
        <w:t>:</w:t>
      </w:r>
    </w:p>
    <w:p>
      <w:pPr>
        <w:widowControl w:val="0"/>
        <w:numPr>
          <w:ilvl w:val="0"/>
          <w:numId w:val="0"/>
        </w:numPr>
        <w:jc w:val="both"/>
        <w:rPr>
          <w:rFonts w:hint="default" w:eastAsia="宋体"/>
          <w:color w:val="auto"/>
          <w:sz w:val="21"/>
          <w:szCs w:val="21"/>
          <w:highlight w:val="none"/>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To realize one shot TA adjustment of active TCI list based approach, one UE capability of supporting coarse time tracking for all TCI states within one RRH coverage is necessary.</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jc w:val="both"/>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For the aperiodic L1-RSRP based approach</w:t>
      </w:r>
      <w:r>
        <w:rPr>
          <w:rFonts w:hint="eastAsia" w:eastAsia="宋体" w:cs="Times New Roman"/>
          <w:b/>
          <w:bCs/>
          <w:color w:val="auto"/>
          <w:sz w:val="21"/>
          <w:szCs w:val="21"/>
          <w:highlight w:val="none"/>
          <w:lang w:val="en-US" w:eastAsia="zh-CN" w:bidi="ar-SA"/>
        </w:rPr>
        <w:t>, not any additional signalling introduced, so without any specification impact.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jc w:val="both"/>
        <w:textAlignment w:val="auto"/>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The threshold of DL timing offset should be CP/2, i.e. 9*64*Tc.</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jc w:val="both"/>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The UE feature and corresponding UE capability for one-shot TA adjustment should be mandatory, at least for uni-directional deployment.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Chars="0"/>
        <w:rPr>
          <w:rFonts w:hint="default"/>
          <w:color w:val="auto"/>
          <w:lang w:val="en-US" w:eastAsia="zh-CN"/>
        </w:rPr>
      </w:pPr>
      <w:r>
        <w:rPr>
          <w:rFonts w:hint="eastAsia"/>
          <w:color w:val="auto"/>
          <w:lang w:val="en-US" w:eastAsia="zh-CN"/>
        </w:rPr>
        <w:t>R4-2</w:t>
      </w:r>
      <w:r>
        <w:rPr>
          <w:rFonts w:hint="eastAsia"/>
          <w:color w:val="auto"/>
          <w:highlight w:val="none"/>
          <w:lang w:val="en-US" w:eastAsia="zh-CN"/>
        </w:rPr>
        <w:t>206848</w:t>
      </w:r>
      <w:r>
        <w:rPr>
          <w:rFonts w:hint="eastAsia"/>
          <w:color w:val="auto"/>
          <w:lang w:val="en-US" w:eastAsia="zh-CN"/>
        </w:rPr>
        <w:t xml:space="preserve">, </w:t>
      </w:r>
      <w:r>
        <w:rPr>
          <w:rFonts w:hint="default"/>
          <w:color w:val="auto"/>
          <w:lang w:val="en-US" w:eastAsia="zh-CN"/>
        </w:rPr>
        <w:t>“</w:t>
      </w:r>
      <w:r>
        <w:rPr>
          <w:rFonts w:hint="eastAsia"/>
          <w:color w:val="auto"/>
          <w:lang w:val="en-US" w:eastAsia="zh-CN"/>
        </w:rPr>
        <w:t>WF for FR2 HST RRM (part 1)</w:t>
      </w:r>
      <w:r>
        <w:rPr>
          <w:rFonts w:hint="default"/>
          <w:color w:val="auto"/>
          <w:lang w:val="en-US" w:eastAsia="zh-CN"/>
        </w:rPr>
        <w:t>”</w:t>
      </w:r>
      <w:r>
        <w:rPr>
          <w:rFonts w:hint="eastAsia"/>
          <w:color w:val="auto"/>
          <w:lang w:val="en-US" w:eastAsia="zh-CN"/>
        </w:rPr>
        <w:t xml:space="preserve">, RAN4#102 e-meeting, Nokia, Nokia Shanghai Bell. </w:t>
      </w:r>
    </w:p>
    <w:p>
      <w:pPr>
        <w:pStyle w:val="9"/>
        <w:numPr>
          <w:ilvl w:val="0"/>
          <w:numId w:val="7"/>
        </w:numPr>
        <w:ind w:leftChars="0"/>
        <w:rPr>
          <w:rFonts w:hint="default"/>
          <w:color w:val="auto"/>
          <w:lang w:val="en-US" w:eastAsia="zh-CN"/>
        </w:rPr>
      </w:pPr>
      <w:r>
        <w:rPr>
          <w:rFonts w:hint="eastAsia"/>
          <w:color w:val="auto"/>
          <w:lang w:val="en-US" w:eastAsia="zh-CN"/>
        </w:rPr>
        <w:t>TS38.133-h20</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E201156"/>
    <w:multiLevelType w:val="singleLevel"/>
    <w:tmpl w:val="0E201156"/>
    <w:lvl w:ilvl="0" w:tentative="0">
      <w:start w:val="1"/>
      <w:numFmt w:val="bullet"/>
      <w:lvlText w:val=""/>
      <w:lvlJc w:val="left"/>
      <w:pPr>
        <w:ind w:left="420" w:hanging="420"/>
      </w:pPr>
      <w:rPr>
        <w:rFonts w:hint="default" w:ascii="Wingdings" w:hAnsi="Wingdings"/>
      </w:rPr>
    </w:lvl>
  </w:abstractNum>
  <w:abstractNum w:abstractNumId="2">
    <w:nsid w:val="1326583E"/>
    <w:multiLevelType w:val="multilevel"/>
    <w:tmpl w:val="1326583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5682273"/>
    <w:rsid w:val="05C42923"/>
    <w:rsid w:val="07CD3CDD"/>
    <w:rsid w:val="0855671D"/>
    <w:rsid w:val="09370038"/>
    <w:rsid w:val="09716BCA"/>
    <w:rsid w:val="09E644B8"/>
    <w:rsid w:val="0BB0429A"/>
    <w:rsid w:val="103410A9"/>
    <w:rsid w:val="10CD3309"/>
    <w:rsid w:val="1481754F"/>
    <w:rsid w:val="148F5721"/>
    <w:rsid w:val="14AC57CD"/>
    <w:rsid w:val="158934D8"/>
    <w:rsid w:val="15F13016"/>
    <w:rsid w:val="164514BE"/>
    <w:rsid w:val="165D2584"/>
    <w:rsid w:val="170F06AA"/>
    <w:rsid w:val="180A6E32"/>
    <w:rsid w:val="183F2CD2"/>
    <w:rsid w:val="18CD0507"/>
    <w:rsid w:val="1AD01A1B"/>
    <w:rsid w:val="1C177B08"/>
    <w:rsid w:val="1C9001C6"/>
    <w:rsid w:val="1CBA2101"/>
    <w:rsid w:val="1D0573D7"/>
    <w:rsid w:val="1D153DC4"/>
    <w:rsid w:val="1D223E0B"/>
    <w:rsid w:val="1D8B2B78"/>
    <w:rsid w:val="1E853F6F"/>
    <w:rsid w:val="1ECC1E3C"/>
    <w:rsid w:val="21244EB1"/>
    <w:rsid w:val="21F13629"/>
    <w:rsid w:val="232D3E03"/>
    <w:rsid w:val="24122135"/>
    <w:rsid w:val="246337B6"/>
    <w:rsid w:val="25603137"/>
    <w:rsid w:val="26BB1419"/>
    <w:rsid w:val="2861011F"/>
    <w:rsid w:val="28BC0EDF"/>
    <w:rsid w:val="299C6056"/>
    <w:rsid w:val="29BC50E0"/>
    <w:rsid w:val="29E82D40"/>
    <w:rsid w:val="2A7E505C"/>
    <w:rsid w:val="2BC05B2C"/>
    <w:rsid w:val="2BD617C5"/>
    <w:rsid w:val="2C112837"/>
    <w:rsid w:val="2E772C24"/>
    <w:rsid w:val="2EC371C0"/>
    <w:rsid w:val="2F2F0FC8"/>
    <w:rsid w:val="301C6BB6"/>
    <w:rsid w:val="302D09AA"/>
    <w:rsid w:val="313A4A06"/>
    <w:rsid w:val="31B14C9E"/>
    <w:rsid w:val="348E4211"/>
    <w:rsid w:val="35B06C6A"/>
    <w:rsid w:val="36D37423"/>
    <w:rsid w:val="3A185287"/>
    <w:rsid w:val="3A692CD0"/>
    <w:rsid w:val="3B673620"/>
    <w:rsid w:val="3B9A1F29"/>
    <w:rsid w:val="3CE4646B"/>
    <w:rsid w:val="3D5E7AA8"/>
    <w:rsid w:val="3D6F2596"/>
    <w:rsid w:val="3E1E0AD2"/>
    <w:rsid w:val="3E3628E3"/>
    <w:rsid w:val="405F175E"/>
    <w:rsid w:val="40C765F3"/>
    <w:rsid w:val="42F869D2"/>
    <w:rsid w:val="43553536"/>
    <w:rsid w:val="451632B9"/>
    <w:rsid w:val="45F60A50"/>
    <w:rsid w:val="46B036BF"/>
    <w:rsid w:val="47282363"/>
    <w:rsid w:val="47703899"/>
    <w:rsid w:val="484F4341"/>
    <w:rsid w:val="49E55BC5"/>
    <w:rsid w:val="4B5D28ED"/>
    <w:rsid w:val="4C1B4559"/>
    <w:rsid w:val="4C1C63D6"/>
    <w:rsid w:val="4C864A35"/>
    <w:rsid w:val="4E015C76"/>
    <w:rsid w:val="4E4A2325"/>
    <w:rsid w:val="4E5A42F3"/>
    <w:rsid w:val="501A6C55"/>
    <w:rsid w:val="51B14BED"/>
    <w:rsid w:val="51BE58BF"/>
    <w:rsid w:val="525C1CEF"/>
    <w:rsid w:val="53C64B93"/>
    <w:rsid w:val="55B1164D"/>
    <w:rsid w:val="55B4735E"/>
    <w:rsid w:val="56371459"/>
    <w:rsid w:val="59DA647E"/>
    <w:rsid w:val="5A556E1A"/>
    <w:rsid w:val="5EB44FC0"/>
    <w:rsid w:val="5F8677E1"/>
    <w:rsid w:val="5FBA395F"/>
    <w:rsid w:val="635902CD"/>
    <w:rsid w:val="638B1EC6"/>
    <w:rsid w:val="64706BBE"/>
    <w:rsid w:val="64F2095B"/>
    <w:rsid w:val="65107815"/>
    <w:rsid w:val="675D6715"/>
    <w:rsid w:val="67A858DB"/>
    <w:rsid w:val="68284302"/>
    <w:rsid w:val="68AB65A9"/>
    <w:rsid w:val="69A833BD"/>
    <w:rsid w:val="6C4C2C3E"/>
    <w:rsid w:val="6DDE3DAF"/>
    <w:rsid w:val="6E441720"/>
    <w:rsid w:val="6FB173BF"/>
    <w:rsid w:val="6FFB2EC1"/>
    <w:rsid w:val="708062D5"/>
    <w:rsid w:val="715F4C2D"/>
    <w:rsid w:val="72BF60CA"/>
    <w:rsid w:val="72FE3A70"/>
    <w:rsid w:val="73A31A4B"/>
    <w:rsid w:val="73CF20AE"/>
    <w:rsid w:val="753811DE"/>
    <w:rsid w:val="75BE67D4"/>
    <w:rsid w:val="75C759C1"/>
    <w:rsid w:val="75FA12E2"/>
    <w:rsid w:val="761A6101"/>
    <w:rsid w:val="762D64F3"/>
    <w:rsid w:val="775B4604"/>
    <w:rsid w:val="77C067C3"/>
    <w:rsid w:val="78911E31"/>
    <w:rsid w:val="7A2E5A5D"/>
    <w:rsid w:val="7A9367CB"/>
    <w:rsid w:val="7AF22571"/>
    <w:rsid w:val="7C1C35A7"/>
    <w:rsid w:val="7C45431D"/>
    <w:rsid w:val="7D8E45CE"/>
    <w:rsid w:val="7DDD0501"/>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0"/>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paragraph" w:customStyle="1" w:styleId="52">
    <w:name w:val="B2"/>
    <w:basedOn w:val="9"/>
    <w:qFormat/>
    <w:uiPriority w:val="0"/>
  </w:style>
  <w:style w:type="paragraph" w:customStyle="1" w:styleId="53">
    <w:name w:val="B3"/>
    <w:basedOn w:val="1"/>
    <w:qFormat/>
    <w:uiPriority w:val="0"/>
    <w:pPr>
      <w:ind w:left="1135" w:hanging="284"/>
    </w:pPr>
  </w:style>
  <w:style w:type="paragraph" w:customStyle="1" w:styleId="54">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2022-04-25T10:13:08Z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